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120"/>
        <w:contextualSpacing w:val="0"/>
        <w:jc w:val="center"/>
      </w:pPr>
      <w:r w:rsidRPr="00000000" w:rsidR="00000000" w:rsidDel="00000000">
        <w:rPr>
          <w:rFonts w:cs="Cambria" w:hAnsi="Cambria" w:eastAsia="Cambria" w:ascii="Cambria"/>
          <w:sz w:val="40"/>
          <w:rtl w:val="0"/>
        </w:rPr>
        <w:t xml:space="preserve">Words to Decipher (Quarter 1, List 1)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Name: ____________________________________________________________    Core: ___________    Date: ___________</w:t>
      </w:r>
    </w:p>
    <w:p w:rsidP="00000000" w:rsidRPr="00000000" w:rsidR="00000000" w:rsidDel="00000000" w:rsidRDefault="00000000">
      <w:pPr>
        <w:spacing w:lineRule="auto" w:after="120"/>
        <w:contextualSpacing w:val="0"/>
      </w:pPr>
      <w:r w:rsidRPr="00000000" w:rsidR="00000000" w:rsidDel="00000000">
        <w:rPr>
          <w:rFonts w:cs="Cambria" w:hAnsi="Cambria" w:eastAsia="Cambria" w:ascii="Cambria"/>
          <w:b w:val="1"/>
          <w:sz w:val="24"/>
          <w:rtl w:val="0"/>
        </w:rPr>
        <w:t xml:space="preserve">Directions:</w:t>
      </w:r>
      <w:r w:rsidRPr="00000000" w:rsidR="00000000" w:rsidDel="00000000">
        <w:rPr>
          <w:rFonts w:cs="Cambria" w:hAnsi="Cambria" w:eastAsia="Cambria" w:ascii="Cambria"/>
          <w:sz w:val="24"/>
          <w:rtl w:val="0"/>
        </w:rPr>
        <w:t xml:space="preserve"> Look at the words in the table below. Using your knowledge of word parts, try to figure out the meaning of each word. Write your guess in the middle column. Then, look up the meaning of the word in a dictionary. Write down the actual definition in the column on the right. </w:t>
      </w:r>
      <w:r w:rsidRPr="00000000" w:rsidR="00000000" w:rsidDel="00000000">
        <w:rPr>
          <w:rtl w:val="0"/>
        </w:rPr>
      </w:r>
    </w:p>
    <w:tbl>
      <w:tblPr>
        <w:tblW w:w="11016.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728"/>
        <w:gridCol w:w="4140"/>
        <w:gridCol w:w="5148"/>
        <w:gridCol w:w="-72"/>
        <w:gridCol w:w="-72"/>
        <w:gridCol w:w="-72"/>
      </w:tblGrid>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Fonts w:cs="Cambria" w:hAnsi="Cambria" w:eastAsia="Cambria" w:ascii="Cambria"/>
                <w:b w:val="1"/>
                <w:sz w:val="24"/>
                <w:rtl w:val="0"/>
              </w:rPr>
              <w:t xml:space="preserve">Word</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Fonts w:cs="Cambria" w:hAnsi="Cambria" w:eastAsia="Cambria" w:ascii="Cambria"/>
                <w:b w:val="1"/>
                <w:sz w:val="24"/>
                <w:rtl w:val="0"/>
              </w:rPr>
              <w:t xml:space="preserve">Definition (based on word parts)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center"/>
            </w:pPr>
            <w:r w:rsidRPr="00000000" w:rsidR="00000000" w:rsidDel="00000000">
              <w:rPr>
                <w:rFonts w:cs="Cambria" w:hAnsi="Cambria" w:eastAsia="Cambria" w:ascii="Cambria"/>
                <w:b w:val="1"/>
                <w:sz w:val="24"/>
                <w:rtl w:val="0"/>
              </w:rPr>
              <w:t xml:space="preserve">Actual Definition</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4"/>
                <w:rtl w:val="0"/>
              </w:rPr>
              <w:t xml:space="preserve">antibiotic</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Anti = against, bio=life, so antibiotic is something that opposes life. </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18"/>
                <w:rtl w:val="0"/>
              </w:rPr>
              <w:t xml:space="preserve">tending to prevent, inhibit, or destroy life,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18"/>
                <w:rtl w:val="0"/>
              </w:rPr>
              <w:t xml:space="preserve">a substance produced by or a semi synthetic substance derived from a microorganism and able in dilute solution to inhibit or kill another microorganism (Merriam Webster Dictionary)</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4"/>
                <w:rtl w:val="0"/>
              </w:rPr>
              <w:t xml:space="preserve">centripetal force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4"/>
                <w:rtl w:val="0"/>
              </w:rPr>
              <w:t xml:space="preserve">zoology</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rtl w:val="0"/>
              </w:rPr>
              <w:t xml:space="preserve">chronological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arachnophobia</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4"/>
                <w:rtl w:val="0"/>
              </w:rPr>
              <w:t xml:space="preserve">helios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4"/>
                <w:rtl w:val="0"/>
              </w:rPr>
              <w:t xml:space="preserve">biography</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4"/>
                <w:rtl w:val="0"/>
              </w:rPr>
              <w:t xml:space="preserve">pathology</w:t>
              <w:tab/>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r>
        <w:trPr>
          <w:trHeight w:val="1140" w:hRule="atLeast"/>
        </w:trP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4"/>
                <w:rtl w:val="0"/>
              </w:rPr>
              <w:t xml:space="preserve">bibiophile</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mbria" w:hAnsi="Cambria" w:eastAsia="Cambria" w:ascii="Cambria"/>
          <w:sz w:val="28"/>
          <w:rtl w:val="0"/>
        </w:rPr>
        <w:t xml:space="preserve">Word Trees</w:t>
      </w: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Directions: </w:t>
      </w:r>
      <w:r w:rsidRPr="00000000" w:rsidR="00000000" w:rsidDel="00000000">
        <w:rPr>
          <w:rFonts w:cs="Cambria" w:hAnsi="Cambria" w:eastAsia="Cambria" w:ascii="Cambria"/>
          <w:rtl w:val="0"/>
        </w:rPr>
        <w:t xml:space="preserve">Beginning with one of the above words, create a word tree. Your second and third words must contain some part of the initial word. Beneath the two new words, give their definitions. Then, use parts from Words 2 and 3 to create words 4, 5 and 6 and define these words as well.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Words to Decipher.docx</dc:title>
</cp:coreProperties>
</file>